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C9D9" w14:textId="2A63CD96" w:rsidR="00FD1E70" w:rsidRPr="00FD1E70" w:rsidRDefault="00FD1E70" w:rsidP="00FD1E70">
      <w:pPr>
        <w:spacing w:after="0" w:line="240" w:lineRule="auto"/>
        <w:ind w:left="720" w:hanging="360"/>
        <w:jc w:val="center"/>
        <w:rPr>
          <w:rFonts w:ascii="Aptos" w:hAnsi="Aptos"/>
          <w:b/>
          <w:bCs/>
        </w:rPr>
      </w:pPr>
      <w:r w:rsidRPr="00FD1E70">
        <w:rPr>
          <w:rFonts w:ascii="Aptos" w:hAnsi="Aptos"/>
          <w:b/>
          <w:bCs/>
        </w:rPr>
        <w:t>ADHD Referral FAQs &amp; Letter Templates</w:t>
      </w:r>
    </w:p>
    <w:p w14:paraId="1BA6AF63" w14:textId="77777777" w:rsidR="00FD1E70" w:rsidRPr="00FD1E70" w:rsidRDefault="00FD1E70" w:rsidP="00FD1E70">
      <w:pPr>
        <w:spacing w:after="0" w:line="240" w:lineRule="auto"/>
        <w:ind w:left="720" w:hanging="360"/>
        <w:rPr>
          <w:rFonts w:ascii="Aptos" w:hAnsi="Aptos"/>
        </w:rPr>
      </w:pPr>
    </w:p>
    <w:p w14:paraId="60F427CE" w14:textId="77777777" w:rsidR="00FD1E70" w:rsidRPr="00FD1E70" w:rsidRDefault="00FD1E70" w:rsidP="00FD1E70">
      <w:pPr>
        <w:spacing w:after="0" w:line="240" w:lineRule="auto"/>
        <w:ind w:left="720" w:hanging="360"/>
        <w:rPr>
          <w:rFonts w:ascii="Aptos" w:hAnsi="Aptos"/>
        </w:rPr>
      </w:pPr>
    </w:p>
    <w:p w14:paraId="3839210E" w14:textId="409CF0F3" w:rsidR="00FD1E70" w:rsidRPr="00753FAC" w:rsidRDefault="00FD1E70" w:rsidP="00692BB3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color w:val="262626"/>
          <w:kern w:val="0"/>
          <w14:ligatures w14:val="none"/>
        </w:rPr>
      </w:pPr>
      <w:r w:rsidRPr="00753FAC"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>We</w:t>
      </w:r>
      <w:r w:rsidRPr="00FD1E70"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 xml:space="preserve"> have made the decision to </w:t>
      </w:r>
      <w:r w:rsidRPr="00753FAC"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 xml:space="preserve">only refer </w:t>
      </w:r>
      <w:r w:rsidRPr="00FD1E70"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>potential ADHD patients to routine NHS services</w:t>
      </w: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. </w:t>
      </w:r>
      <w:r w:rsidR="008536E2" w:rsidRPr="008536E2"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>Is that acceptable?</w:t>
      </w:r>
      <w:r w:rsidR="008536E2">
        <w:rPr>
          <w:rFonts w:ascii="Aptos" w:eastAsia="Times New Roman" w:hAnsi="Aptos" w:cs="Calibri"/>
          <w:color w:val="262626"/>
          <w:kern w:val="0"/>
          <w14:ligatures w14:val="none"/>
        </w:rPr>
        <w:t xml:space="preserve"> </w:t>
      </w: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The issue with this is that the patients </w:t>
      </w:r>
      <w:proofErr w:type="gramStart"/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>actually have</w:t>
      </w:r>
      <w:proofErr w:type="gramEnd"/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a legal right to use the Right to Choose Pathway. However, the process is that a clinical decision is made to refer the patients for ADHD assessments. This is clearly </w:t>
      </w:r>
      <w:r w:rsidR="00753FAC" w:rsidRPr="00753FAC">
        <w:rPr>
          <w:rFonts w:ascii="Aptos" w:eastAsia="Times New Roman" w:hAnsi="Aptos" w:cs="Calibri"/>
          <w:color w:val="262626"/>
          <w:kern w:val="0"/>
          <w14:ligatures w14:val="none"/>
        </w:rPr>
        <w:t>the consulting GP’s</w:t>
      </w: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decision and not the </w:t>
      </w:r>
      <w:proofErr w:type="gramStart"/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>patient’s</w:t>
      </w:r>
      <w:proofErr w:type="gramEnd"/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. If you do not feel an assessment is warranted, the patient </w:t>
      </w:r>
      <w:r w:rsidR="00753FAC" w:rsidRPr="00753FAC">
        <w:rPr>
          <w:rFonts w:ascii="Aptos" w:eastAsia="Times New Roman" w:hAnsi="Aptos" w:cs="Calibri"/>
          <w:color w:val="262626"/>
          <w:kern w:val="0"/>
          <w14:ligatures w14:val="none"/>
        </w:rPr>
        <w:t>cannot</w:t>
      </w: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demand a referral. Once </w:t>
      </w:r>
      <w:r w:rsidR="00753FAC" w:rsidRPr="00753FAC">
        <w:rPr>
          <w:rFonts w:ascii="Aptos" w:eastAsia="Times New Roman" w:hAnsi="Aptos" w:cs="Calibri"/>
          <w:color w:val="262626"/>
          <w:kern w:val="0"/>
          <w14:ligatures w14:val="none"/>
        </w:rPr>
        <w:t>the decision has been m</w:t>
      </w: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ade </w:t>
      </w:r>
      <w:r w:rsidR="00753FAC" w:rsidRPr="00753FAC">
        <w:rPr>
          <w:rFonts w:ascii="Aptos" w:eastAsia="Times New Roman" w:hAnsi="Aptos" w:cs="Calibri"/>
          <w:color w:val="262626"/>
          <w:kern w:val="0"/>
          <w14:ligatures w14:val="none"/>
        </w:rPr>
        <w:t>to</w:t>
      </w: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refer via the NHS service,</w:t>
      </w:r>
      <w:r w:rsidRPr="00FD1E70"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 xml:space="preserve"> IF</w:t>
      </w: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the patient decides that the wait is too long, they can then request a Right to Choose Referral and unfortunately </w:t>
      </w:r>
      <w:r w:rsidR="00753FAC" w:rsidRPr="00753FAC">
        <w:rPr>
          <w:rFonts w:ascii="Aptos" w:eastAsia="Times New Roman" w:hAnsi="Aptos" w:cs="Calibri"/>
          <w:color w:val="262626"/>
          <w:kern w:val="0"/>
          <w14:ligatures w14:val="none"/>
        </w:rPr>
        <w:t>the GP</w:t>
      </w: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</w:t>
      </w:r>
      <w:r w:rsidR="00753FAC" w:rsidRPr="00753FAC">
        <w:rPr>
          <w:rFonts w:ascii="Aptos" w:eastAsia="Times New Roman" w:hAnsi="Aptos" w:cs="Calibri"/>
          <w:color w:val="262626"/>
          <w:kern w:val="0"/>
          <w14:ligatures w14:val="none"/>
        </w:rPr>
        <w:t>cannot</w:t>
      </w: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refuse at this point. </w:t>
      </w:r>
    </w:p>
    <w:p w14:paraId="281538E4" w14:textId="77777777" w:rsidR="00753FAC" w:rsidRPr="00FD1E70" w:rsidRDefault="00753FAC" w:rsidP="00753FAC">
      <w:pPr>
        <w:spacing w:after="0" w:line="240" w:lineRule="auto"/>
        <w:rPr>
          <w:rFonts w:ascii="Aptos" w:eastAsia="Calibri" w:hAnsi="Aptos" w:cs="Calibri"/>
          <w:color w:val="262626"/>
          <w:kern w:val="0"/>
          <w14:ligatures w14:val="none"/>
        </w:rPr>
      </w:pPr>
    </w:p>
    <w:p w14:paraId="02B5DA93" w14:textId="77777777" w:rsidR="00FD1E70" w:rsidRPr="00FD1E70" w:rsidRDefault="00FD1E70" w:rsidP="00FD1E70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Calibri"/>
          <w:color w:val="262626"/>
          <w:kern w:val="0"/>
          <w14:ligatures w14:val="none"/>
        </w:rPr>
      </w:pPr>
      <w:r w:rsidRPr="00FD1E70"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>How many contractors are available for patients to choose from</w:t>
      </w: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. </w:t>
      </w:r>
    </w:p>
    <w:p w14:paraId="158EEDA1" w14:textId="77777777" w:rsidR="00FD1E70" w:rsidRPr="00FD1E70" w:rsidRDefault="00FD1E70" w:rsidP="00FD1E70">
      <w:pPr>
        <w:spacing w:after="0" w:line="240" w:lineRule="auto"/>
        <w:ind w:left="720"/>
        <w:rPr>
          <w:rFonts w:ascii="Aptos" w:eastAsia="Calibri" w:hAnsi="Aptos" w:cs="Calibri"/>
          <w:color w:val="262626"/>
          <w:kern w:val="0"/>
          <w14:ligatures w14:val="none"/>
        </w:rPr>
      </w:pPr>
    </w:p>
    <w:p w14:paraId="273F041F" w14:textId="401F1155" w:rsidR="00FD1E70" w:rsidRPr="00FD1E70" w:rsidRDefault="00FD1E70" w:rsidP="00FD1E70">
      <w:pPr>
        <w:numPr>
          <w:ilvl w:val="1"/>
          <w:numId w:val="1"/>
        </w:numPr>
        <w:spacing w:after="0" w:line="240" w:lineRule="auto"/>
        <w:rPr>
          <w:rFonts w:ascii="Aptos" w:eastAsia="Times New Roman" w:hAnsi="Aptos" w:cs="Calibri"/>
          <w:color w:val="262626"/>
          <w:kern w:val="0"/>
          <w14:ligatures w14:val="none"/>
        </w:rPr>
      </w:pP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This link has details </w:t>
      </w:r>
      <w:r w:rsidR="00753FAC" w:rsidRPr="00FD1E70">
        <w:rPr>
          <w:rFonts w:ascii="Aptos" w:eastAsia="Times New Roman" w:hAnsi="Aptos" w:cs="Calibri"/>
          <w:color w:val="262626"/>
          <w:kern w:val="0"/>
          <w14:ligatures w14:val="none"/>
        </w:rPr>
        <w:t>of the</w:t>
      </w:r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various Providers   </w:t>
      </w:r>
      <w:hyperlink r:id="rId5" w:history="1">
        <w:r w:rsidRPr="00FD1E70">
          <w:rPr>
            <w:rFonts w:ascii="Aptos" w:eastAsia="Times New Roman" w:hAnsi="Aptos" w:cs="Calibri"/>
            <w:color w:val="0563C1"/>
            <w:kern w:val="0"/>
            <w:u w:val="single"/>
            <w14:ligatures w14:val="none"/>
          </w:rPr>
          <w:t>Right to Choose - ADHD UK</w:t>
        </w:r>
      </w:hyperlink>
      <w:r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.</w:t>
      </w:r>
    </w:p>
    <w:p w14:paraId="378DE072" w14:textId="77777777" w:rsidR="00FD1E70" w:rsidRPr="00FD1E70" w:rsidRDefault="00FD1E70" w:rsidP="00FD1E70">
      <w:pPr>
        <w:spacing w:after="0" w:line="240" w:lineRule="auto"/>
        <w:ind w:left="720"/>
        <w:rPr>
          <w:rFonts w:ascii="Aptos" w:eastAsia="Calibri" w:hAnsi="Aptos" w:cs="Calibri"/>
          <w:color w:val="262626"/>
          <w:kern w:val="0"/>
          <w14:ligatures w14:val="none"/>
        </w:rPr>
      </w:pPr>
    </w:p>
    <w:p w14:paraId="58E83E51" w14:textId="2F03DD33" w:rsidR="00FD1E70" w:rsidRPr="00FD1E70" w:rsidRDefault="00000000" w:rsidP="00FD1E70">
      <w:pPr>
        <w:numPr>
          <w:ilvl w:val="1"/>
          <w:numId w:val="1"/>
        </w:numPr>
        <w:spacing w:after="0" w:line="240" w:lineRule="auto"/>
        <w:rPr>
          <w:rFonts w:ascii="Aptos" w:eastAsia="Times New Roman" w:hAnsi="Aptos" w:cs="Calibri"/>
          <w:color w:val="262626"/>
          <w:kern w:val="0"/>
          <w14:ligatures w14:val="none"/>
        </w:rPr>
      </w:pPr>
      <w:hyperlink r:id="rId6" w:history="1">
        <w:r w:rsidR="00FD1E70" w:rsidRPr="00FD1E70">
          <w:rPr>
            <w:rFonts w:ascii="Aptos" w:eastAsia="Times New Roman" w:hAnsi="Aptos" w:cs="Calibri"/>
            <w:color w:val="0563C1"/>
            <w:kern w:val="0"/>
            <w:u w:val="single"/>
            <w14:ligatures w14:val="none"/>
          </w:rPr>
          <w:t>Diagnosis pathways for Adult ADHD | ADHD UK</w:t>
        </w:r>
      </w:hyperlink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>   </w:t>
      </w:r>
      <w:r w:rsidR="00FD1E70" w:rsidRPr="00FD1E70">
        <w:rPr>
          <w:rFonts w:ascii="Aptos" w:eastAsia="Times New Roman" w:hAnsi="Aptos" w:cs="Calibri"/>
          <w:color w:val="0000FF"/>
          <w:kern w:val="0"/>
          <w14:ligatures w14:val="none"/>
        </w:rPr>
        <w:t> </w:t>
      </w:r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You </w:t>
      </w:r>
      <w:r w:rsidR="00753FAC" w:rsidRPr="00FD1E70">
        <w:rPr>
          <w:rFonts w:ascii="Aptos" w:eastAsia="Times New Roman" w:hAnsi="Aptos" w:cs="Calibri"/>
          <w:color w:val="262626"/>
          <w:kern w:val="0"/>
          <w14:ligatures w14:val="none"/>
        </w:rPr>
        <w:t>will see</w:t>
      </w:r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that there is a Pathway for patients to follow, including ‘What your GP should do’ sections. </w:t>
      </w:r>
      <w:r w:rsidR="00753FAC" w:rsidRPr="00FD1E70">
        <w:rPr>
          <w:rFonts w:ascii="Aptos" w:eastAsia="Times New Roman" w:hAnsi="Aptos" w:cs="Calibri"/>
          <w:color w:val="262626"/>
          <w:kern w:val="0"/>
          <w14:ligatures w14:val="none"/>
        </w:rPr>
        <w:t>This</w:t>
      </w:r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unfortunately is creating false expectations because GPs are not obliged to provide specialist treatment post diagnosis. </w:t>
      </w:r>
    </w:p>
    <w:p w14:paraId="60AB9F83" w14:textId="77777777" w:rsidR="00FD1E70" w:rsidRPr="00FD1E70" w:rsidRDefault="00FD1E70" w:rsidP="00FD1E70">
      <w:pPr>
        <w:spacing w:after="0" w:line="240" w:lineRule="auto"/>
        <w:ind w:left="720"/>
        <w:rPr>
          <w:rFonts w:ascii="Aptos" w:eastAsia="Calibri" w:hAnsi="Aptos" w:cs="Calibri"/>
          <w:color w:val="262626"/>
          <w:kern w:val="0"/>
          <w14:ligatures w14:val="none"/>
        </w:rPr>
      </w:pPr>
    </w:p>
    <w:p w14:paraId="3313489F" w14:textId="61B8C060" w:rsidR="00FD1E70" w:rsidRPr="00FD1E70" w:rsidRDefault="00753FAC" w:rsidP="00FD1E70">
      <w:pPr>
        <w:numPr>
          <w:ilvl w:val="1"/>
          <w:numId w:val="1"/>
        </w:numPr>
        <w:spacing w:after="0" w:line="240" w:lineRule="auto"/>
        <w:rPr>
          <w:rFonts w:ascii="Aptos" w:eastAsia="Times New Roman" w:hAnsi="Aptos" w:cs="Calibri"/>
          <w:color w:val="262626"/>
          <w:kern w:val="0"/>
          <w14:ligatures w14:val="none"/>
        </w:rPr>
      </w:pPr>
      <w:r>
        <w:rPr>
          <w:rFonts w:ascii="Aptos" w:eastAsia="Times New Roman" w:hAnsi="Aptos" w:cs="Calibri"/>
          <w:color w:val="262626"/>
          <w:kern w:val="0"/>
          <w14:ligatures w14:val="none"/>
        </w:rPr>
        <w:t>T</w:t>
      </w:r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>he ADHD RTC website offers a letter to patients to take to their GP if they are refused referral.</w:t>
      </w:r>
      <w:r w:rsidR="001E3B22">
        <w:rPr>
          <w:rFonts w:ascii="Aptos" w:eastAsia="Times New Roman" w:hAnsi="Aptos" w:cs="Calibri"/>
          <w:color w:val="262626"/>
          <w:kern w:val="0"/>
          <w14:ligatures w14:val="none"/>
        </w:rPr>
        <w:t xml:space="preserve"> Please be aware that this letter does not affect your right as a GP to </w:t>
      </w:r>
      <w:r w:rsidR="005E22D2">
        <w:rPr>
          <w:rFonts w:ascii="Aptos" w:eastAsia="Times New Roman" w:hAnsi="Aptos" w:cs="Calibri"/>
          <w:color w:val="262626"/>
          <w:kern w:val="0"/>
          <w14:ligatures w14:val="none"/>
        </w:rPr>
        <w:t>make the clinical decision to refer a patient for further assessment.</w:t>
      </w:r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</w:t>
      </w:r>
      <w:hyperlink r:id="rId7" w:history="1">
        <w:r w:rsidR="00FD1E70" w:rsidRPr="00FD1E70">
          <w:rPr>
            <w:rFonts w:ascii="Aptos" w:eastAsia="Times New Roman" w:hAnsi="Aptos" w:cs="Calibri"/>
            <w:color w:val="0000FF"/>
            <w:kern w:val="0"/>
            <w:u w:val="single"/>
            <w14:ligatures w14:val="none"/>
          </w:rPr>
          <w:t>ADHD-UK-Letter-to-GPs-on-Right-to-Choose-v2.pdf (adhduk.co.uk)</w:t>
        </w:r>
      </w:hyperlink>
      <w:r w:rsidR="001E3B22">
        <w:rPr>
          <w:rFonts w:ascii="Aptos" w:eastAsia="Times New Roman" w:hAnsi="Aptos" w:cs="Calibri"/>
          <w:color w:val="0000FF"/>
          <w:kern w:val="0"/>
          <w:u w:val="single"/>
          <w14:ligatures w14:val="none"/>
        </w:rPr>
        <w:t xml:space="preserve"> </w:t>
      </w:r>
    </w:p>
    <w:p w14:paraId="05D5C20C" w14:textId="77777777" w:rsidR="00FD1E70" w:rsidRPr="00FD1E70" w:rsidRDefault="00FD1E70" w:rsidP="00FD1E70">
      <w:pPr>
        <w:spacing w:after="0" w:line="240" w:lineRule="auto"/>
        <w:rPr>
          <w:rFonts w:ascii="Aptos" w:eastAsia="Calibri" w:hAnsi="Aptos" w:cs="Calibri"/>
          <w:color w:val="262626"/>
          <w:kern w:val="0"/>
          <w14:ligatures w14:val="none"/>
        </w:rPr>
      </w:pPr>
    </w:p>
    <w:p w14:paraId="7482085E" w14:textId="454B3BD2" w:rsidR="00FD1E70" w:rsidRPr="008D37F9" w:rsidRDefault="00AA446F" w:rsidP="00FD1E70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</w:pPr>
      <w:r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>Following a diagnosis should the GP take on a shared Care Agreement to monitor</w:t>
      </w:r>
      <w:r w:rsidR="00FE7335"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>?</w:t>
      </w:r>
      <w:r w:rsidR="00FD1E70" w:rsidRPr="00FD1E70"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 xml:space="preserve"> </w:t>
      </w:r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As you know, once the patient is given the diagnosis, they may well choose not to do anything other than ‘know’ they are diagnosed. </w:t>
      </w:r>
      <w:r w:rsidR="00FD28CF">
        <w:rPr>
          <w:rFonts w:ascii="Aptos" w:eastAsia="Times New Roman" w:hAnsi="Aptos" w:cs="Calibri"/>
          <w:color w:val="262626"/>
          <w:kern w:val="0"/>
          <w14:ligatures w14:val="none"/>
        </w:rPr>
        <w:t>It is at this point that</w:t>
      </w:r>
      <w:r w:rsidR="0088740D">
        <w:rPr>
          <w:rFonts w:ascii="Aptos" w:eastAsia="Times New Roman" w:hAnsi="Aptos" w:cs="Calibri"/>
          <w:color w:val="262626"/>
          <w:kern w:val="0"/>
          <w14:ligatures w14:val="none"/>
        </w:rPr>
        <w:t xml:space="preserve"> </w:t>
      </w:r>
      <w:r w:rsidR="009261EE">
        <w:rPr>
          <w:rFonts w:ascii="Aptos" w:eastAsia="Times New Roman" w:hAnsi="Aptos" w:cs="Calibri"/>
          <w:color w:val="262626"/>
          <w:kern w:val="0"/>
          <w14:ligatures w14:val="none"/>
        </w:rPr>
        <w:t xml:space="preserve">a Private or NHS Provider may request the </w:t>
      </w:r>
      <w:r w:rsidR="0088740D">
        <w:rPr>
          <w:rFonts w:ascii="Aptos" w:eastAsia="Times New Roman" w:hAnsi="Aptos" w:cs="Calibri"/>
          <w:color w:val="262626"/>
          <w:kern w:val="0"/>
          <w14:ligatures w14:val="none"/>
        </w:rPr>
        <w:t>GP</w:t>
      </w:r>
      <w:r w:rsidR="009261EE">
        <w:rPr>
          <w:rFonts w:ascii="Aptos" w:eastAsia="Times New Roman" w:hAnsi="Aptos" w:cs="Calibri"/>
          <w:color w:val="262626"/>
          <w:kern w:val="0"/>
          <w14:ligatures w14:val="none"/>
        </w:rPr>
        <w:t xml:space="preserve"> to </w:t>
      </w:r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>monitor</w:t>
      </w:r>
      <w:r w:rsidR="009261EE">
        <w:rPr>
          <w:rFonts w:ascii="Aptos" w:eastAsia="Times New Roman" w:hAnsi="Aptos" w:cs="Calibri"/>
          <w:color w:val="262626"/>
          <w:kern w:val="0"/>
          <w14:ligatures w14:val="none"/>
        </w:rPr>
        <w:t xml:space="preserve"> </w:t>
      </w:r>
      <w:proofErr w:type="gramStart"/>
      <w:r w:rsidR="009261EE">
        <w:rPr>
          <w:rFonts w:ascii="Aptos" w:eastAsia="Times New Roman" w:hAnsi="Aptos" w:cs="Calibri"/>
          <w:color w:val="262626"/>
          <w:kern w:val="0"/>
          <w14:ligatures w14:val="none"/>
        </w:rPr>
        <w:t>and in some cases</w:t>
      </w:r>
      <w:r w:rsidR="0088740D">
        <w:rPr>
          <w:rFonts w:ascii="Aptos" w:eastAsia="Times New Roman" w:hAnsi="Aptos" w:cs="Calibri"/>
          <w:color w:val="262626"/>
          <w:kern w:val="0"/>
          <w14:ligatures w14:val="none"/>
        </w:rPr>
        <w:t>,</w:t>
      </w:r>
      <w:proofErr w:type="gramEnd"/>
      <w:r w:rsidR="009261EE">
        <w:rPr>
          <w:rFonts w:ascii="Aptos" w:eastAsia="Times New Roman" w:hAnsi="Aptos" w:cs="Calibri"/>
          <w:color w:val="262626"/>
          <w:kern w:val="0"/>
          <w14:ligatures w14:val="none"/>
        </w:rPr>
        <w:t xml:space="preserve"> prescribe</w:t>
      </w:r>
      <w:r w:rsidR="0088740D">
        <w:rPr>
          <w:rFonts w:ascii="Aptos" w:eastAsia="Times New Roman" w:hAnsi="Aptos" w:cs="Calibri"/>
          <w:color w:val="262626"/>
          <w:kern w:val="0"/>
          <w14:ligatures w14:val="none"/>
        </w:rPr>
        <w:t xml:space="preserve"> medication</w:t>
      </w:r>
      <w:r w:rsidR="0093689A">
        <w:rPr>
          <w:rFonts w:ascii="Aptos" w:eastAsia="Times New Roman" w:hAnsi="Aptos" w:cs="Calibri"/>
          <w:color w:val="262626"/>
          <w:kern w:val="0"/>
          <w14:ligatures w14:val="none"/>
        </w:rPr>
        <w:t>.</w:t>
      </w:r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This is where the situation can become challenging</w:t>
      </w:r>
      <w:r w:rsidR="00FE7335">
        <w:rPr>
          <w:rFonts w:ascii="Aptos" w:eastAsia="Times New Roman" w:hAnsi="Aptos" w:cs="Calibri"/>
          <w:color w:val="262626"/>
          <w:kern w:val="0"/>
          <w14:ligatures w14:val="none"/>
        </w:rPr>
        <w:t xml:space="preserve">. </w:t>
      </w:r>
      <w:r w:rsidR="009B3AE9">
        <w:rPr>
          <w:rFonts w:ascii="Aptos" w:eastAsia="Times New Roman" w:hAnsi="Aptos" w:cs="Calibri"/>
          <w:color w:val="262626"/>
          <w:kern w:val="0"/>
          <w14:ligatures w14:val="none"/>
        </w:rPr>
        <w:t xml:space="preserve">The GP </w:t>
      </w:r>
      <w:proofErr w:type="gramStart"/>
      <w:r w:rsidR="009B3AE9">
        <w:rPr>
          <w:rFonts w:ascii="Aptos" w:eastAsia="Times New Roman" w:hAnsi="Aptos" w:cs="Calibri"/>
          <w:color w:val="262626"/>
          <w:kern w:val="0"/>
          <w14:ligatures w14:val="none"/>
        </w:rPr>
        <w:t xml:space="preserve">is </w:t>
      </w:r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able</w:t>
      </w:r>
      <w:proofErr w:type="gramEnd"/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to refuse to treat, monitor and prescribe</w:t>
      </w:r>
      <w:r w:rsidR="009B48D8">
        <w:rPr>
          <w:rFonts w:ascii="Aptos" w:eastAsia="Times New Roman" w:hAnsi="Aptos" w:cs="Calibri"/>
          <w:color w:val="262626"/>
          <w:kern w:val="0"/>
          <w14:ligatures w14:val="none"/>
        </w:rPr>
        <w:t xml:space="preserve">. Obviously if the GP chose to </w:t>
      </w:r>
      <w:r w:rsidR="007E1EAB">
        <w:rPr>
          <w:rFonts w:ascii="Aptos" w:eastAsia="Times New Roman" w:hAnsi="Aptos" w:cs="Calibri"/>
          <w:color w:val="262626"/>
          <w:kern w:val="0"/>
          <w14:ligatures w14:val="none"/>
        </w:rPr>
        <w:t xml:space="preserve">accept the request a shared care agreement would be necessary, but as a GP </w:t>
      </w:r>
      <w:r w:rsidR="00DB4B4E">
        <w:rPr>
          <w:rFonts w:ascii="Aptos" w:eastAsia="Times New Roman" w:hAnsi="Aptos" w:cs="Calibri"/>
          <w:color w:val="262626"/>
          <w:kern w:val="0"/>
          <w14:ligatures w14:val="none"/>
        </w:rPr>
        <w:t xml:space="preserve">it is not core work and </w:t>
      </w:r>
      <w:r w:rsidR="00FA72F0">
        <w:rPr>
          <w:rFonts w:ascii="Aptos" w:eastAsia="Times New Roman" w:hAnsi="Aptos" w:cs="Calibri"/>
          <w:color w:val="262626"/>
          <w:kern w:val="0"/>
          <w14:ligatures w14:val="none"/>
        </w:rPr>
        <w:t xml:space="preserve">refusal to enter into any shared care agreement or monitoring is acceptable and </w:t>
      </w:r>
      <w:r w:rsidR="00F54C70">
        <w:rPr>
          <w:rFonts w:ascii="Aptos" w:eastAsia="Times New Roman" w:hAnsi="Aptos" w:cs="Calibri"/>
          <w:color w:val="262626"/>
          <w:kern w:val="0"/>
          <w14:ligatures w14:val="none"/>
        </w:rPr>
        <w:t>recommended by the LMC.</w:t>
      </w:r>
      <w:r w:rsidR="00FD1E70" w:rsidRPr="00FD1E70">
        <w:rPr>
          <w:rFonts w:ascii="Aptos" w:eastAsia="Times New Roman" w:hAnsi="Aptos" w:cs="Calibri"/>
          <w:color w:val="262626"/>
          <w:kern w:val="0"/>
          <w14:ligatures w14:val="none"/>
        </w:rPr>
        <w:t xml:space="preserve"> </w:t>
      </w:r>
    </w:p>
    <w:p w14:paraId="4D69151A" w14:textId="77777777" w:rsidR="008D37F9" w:rsidRPr="009B3AE9" w:rsidRDefault="008D37F9" w:rsidP="008D37F9">
      <w:pPr>
        <w:spacing w:after="0" w:line="240" w:lineRule="auto"/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</w:pPr>
    </w:p>
    <w:p w14:paraId="06ACF884" w14:textId="25DB9757" w:rsidR="009B3AE9" w:rsidRDefault="009B3AE9" w:rsidP="00FD1E70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</w:pPr>
      <w:r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 xml:space="preserve">Does the LMC have any templates GPs </w:t>
      </w:r>
      <w:r w:rsidR="008D37F9"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>can forward to Private/NHS Providers and Patients?</w:t>
      </w:r>
      <w:r w:rsidR="00320966"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  <w:t xml:space="preserve"> </w:t>
      </w:r>
      <w:r w:rsidR="00320966" w:rsidRPr="00320966">
        <w:rPr>
          <w:rFonts w:ascii="Aptos" w:eastAsia="Times New Roman" w:hAnsi="Aptos" w:cs="Calibri"/>
          <w:color w:val="262626"/>
          <w:kern w:val="0"/>
          <w14:ligatures w14:val="none"/>
        </w:rPr>
        <w:t>Yes</w:t>
      </w:r>
    </w:p>
    <w:p w14:paraId="561012B6" w14:textId="77777777" w:rsidR="008D37F9" w:rsidRPr="00FD1E70" w:rsidRDefault="008D37F9" w:rsidP="008D37F9">
      <w:pPr>
        <w:spacing w:after="0" w:line="240" w:lineRule="auto"/>
        <w:ind w:left="360"/>
        <w:rPr>
          <w:rFonts w:ascii="Aptos" w:eastAsia="Times New Roman" w:hAnsi="Aptos" w:cs="Calibri"/>
          <w:b/>
          <w:bCs/>
          <w:color w:val="262626"/>
          <w:kern w:val="0"/>
          <w14:ligatures w14:val="none"/>
        </w:rPr>
      </w:pPr>
    </w:p>
    <w:p w14:paraId="3B87FF53" w14:textId="5EF142CE" w:rsidR="00FD1E70" w:rsidRDefault="00320966" w:rsidP="00FD1E70">
      <w:pPr>
        <w:spacing w:after="0" w:line="240" w:lineRule="auto"/>
        <w:ind w:left="720"/>
        <w:rPr>
          <w:rFonts w:ascii="Aptos" w:eastAsia="Calibri" w:hAnsi="Aptos" w:cs="Calibri"/>
          <w:b/>
          <w:bCs/>
          <w:color w:val="262626"/>
          <w:kern w:val="0"/>
          <w14:ligatures w14:val="none"/>
        </w:rPr>
      </w:pPr>
      <w:r w:rsidRPr="00320966">
        <w:rPr>
          <w:rFonts w:ascii="Aptos" w:eastAsia="Calibri" w:hAnsi="Aptos" w:cs="Calibri"/>
          <w:b/>
          <w:bCs/>
          <w:color w:val="262626"/>
          <w:kern w:val="0"/>
          <w14:ligatures w14:val="none"/>
        </w:rPr>
        <w:t xml:space="preserve"> </w:t>
      </w:r>
      <w:hyperlink r:id="rId8" w:history="1">
        <w:r w:rsidRPr="00320966">
          <w:rPr>
            <w:rStyle w:val="Hyperlink"/>
            <w:rFonts w:ascii="Aptos" w:eastAsia="Calibri" w:hAnsi="Aptos" w:cs="Calibri"/>
            <w:b/>
            <w:bCs/>
            <w:kern w:val="0"/>
            <w14:ligatures w14:val="none"/>
          </w:rPr>
          <w:t>Managing Inappropriate Workload | Consortium of Lancashire &amp; Cumbria LMCs</w:t>
        </w:r>
      </w:hyperlink>
    </w:p>
    <w:p w14:paraId="7CAED614" w14:textId="77777777" w:rsidR="00744742" w:rsidRDefault="00744742" w:rsidP="00FD1E70">
      <w:pPr>
        <w:spacing w:after="0" w:line="240" w:lineRule="auto"/>
        <w:ind w:left="720"/>
        <w:rPr>
          <w:rFonts w:ascii="Aptos" w:eastAsia="Calibri" w:hAnsi="Aptos" w:cs="Calibri"/>
          <w:b/>
          <w:bCs/>
          <w:color w:val="262626"/>
          <w:kern w:val="0"/>
          <w14:ligatures w14:val="none"/>
        </w:rPr>
      </w:pPr>
    </w:p>
    <w:p w14:paraId="17643B7F" w14:textId="695FA47C" w:rsidR="00284023" w:rsidRDefault="00000000" w:rsidP="00FD1E70">
      <w:pPr>
        <w:spacing w:after="0" w:line="240" w:lineRule="auto"/>
        <w:ind w:left="720"/>
        <w:rPr>
          <w:rFonts w:ascii="Aptos" w:eastAsia="Calibri" w:hAnsi="Aptos" w:cs="Calibri"/>
          <w:b/>
          <w:bCs/>
          <w:color w:val="262626"/>
          <w:kern w:val="0"/>
          <w14:ligatures w14:val="none"/>
        </w:rPr>
      </w:pPr>
      <w:hyperlink r:id="rId9" w:history="1">
        <w:r w:rsidR="005F5A1D" w:rsidRPr="005F5A1D">
          <w:rPr>
            <w:rStyle w:val="Hyperlink"/>
            <w:rFonts w:ascii="Aptos" w:eastAsia="Calibri" w:hAnsi="Aptos" w:cs="Calibri"/>
            <w:b/>
            <w:bCs/>
            <w:kern w:val="0"/>
            <w14:ligatures w14:val="none"/>
          </w:rPr>
          <w:t>Inappropriate Workload Transfer Response to Secondary Care</w:t>
        </w:r>
      </w:hyperlink>
    </w:p>
    <w:p w14:paraId="57CE2575" w14:textId="77777777" w:rsidR="005F5A1D" w:rsidRDefault="005F5A1D" w:rsidP="00FD1E70">
      <w:pPr>
        <w:spacing w:after="0" w:line="240" w:lineRule="auto"/>
        <w:ind w:left="720"/>
        <w:rPr>
          <w:rFonts w:ascii="Aptos" w:eastAsia="Calibri" w:hAnsi="Aptos" w:cs="Calibri"/>
          <w:b/>
          <w:bCs/>
          <w:color w:val="262626"/>
          <w:kern w:val="0"/>
          <w14:ligatures w14:val="none"/>
        </w:rPr>
      </w:pPr>
    </w:p>
    <w:p w14:paraId="37F504F3" w14:textId="376FD51C" w:rsidR="005F5A1D" w:rsidRDefault="00000000" w:rsidP="00FD1E70">
      <w:pPr>
        <w:spacing w:after="0" w:line="240" w:lineRule="auto"/>
        <w:ind w:left="720"/>
        <w:rPr>
          <w:rFonts w:ascii="Aptos" w:eastAsia="Calibri" w:hAnsi="Aptos" w:cs="Calibri"/>
          <w:b/>
          <w:bCs/>
          <w:color w:val="262626"/>
          <w:kern w:val="0"/>
          <w14:ligatures w14:val="none"/>
        </w:rPr>
      </w:pPr>
      <w:hyperlink r:id="rId10" w:history="1">
        <w:r w:rsidR="008334C0" w:rsidRPr="008334C0">
          <w:rPr>
            <w:rStyle w:val="Hyperlink"/>
            <w:rFonts w:ascii="Aptos" w:eastAsia="Calibri" w:hAnsi="Aptos" w:cs="Calibri"/>
            <w:b/>
            <w:bCs/>
            <w:kern w:val="0"/>
            <w14:ligatures w14:val="none"/>
          </w:rPr>
          <w:t>ADHD Rejection Letter to Private Provider</w:t>
        </w:r>
      </w:hyperlink>
    </w:p>
    <w:p w14:paraId="0CE7BD31" w14:textId="77777777" w:rsidR="005F5A1D" w:rsidRDefault="005F5A1D" w:rsidP="00FD1E70">
      <w:pPr>
        <w:spacing w:after="0" w:line="240" w:lineRule="auto"/>
        <w:ind w:left="720"/>
        <w:rPr>
          <w:rFonts w:ascii="Aptos" w:eastAsia="Calibri" w:hAnsi="Aptos" w:cs="Calibri"/>
          <w:b/>
          <w:bCs/>
          <w:color w:val="262626"/>
          <w:kern w:val="0"/>
          <w14:ligatures w14:val="none"/>
        </w:rPr>
      </w:pPr>
    </w:p>
    <w:p w14:paraId="34B4CC62" w14:textId="6AC852F0" w:rsidR="00284023" w:rsidRPr="00FD1E70" w:rsidRDefault="00000000" w:rsidP="00FD1E70">
      <w:pPr>
        <w:spacing w:after="0" w:line="240" w:lineRule="auto"/>
        <w:ind w:left="720"/>
        <w:rPr>
          <w:rFonts w:ascii="Aptos" w:eastAsia="Calibri" w:hAnsi="Aptos" w:cs="Calibri"/>
          <w:b/>
          <w:bCs/>
          <w:color w:val="262626"/>
          <w:kern w:val="0"/>
          <w14:ligatures w14:val="none"/>
        </w:rPr>
      </w:pPr>
      <w:hyperlink r:id="rId11" w:history="1">
        <w:r w:rsidR="00284023" w:rsidRPr="00284023">
          <w:rPr>
            <w:rStyle w:val="Hyperlink"/>
            <w:rFonts w:ascii="Aptos" w:eastAsia="Calibri" w:hAnsi="Aptos" w:cs="Calibri"/>
            <w:b/>
            <w:bCs/>
            <w:kern w:val="0"/>
            <w14:ligatures w14:val="none"/>
          </w:rPr>
          <w:t>BMA Template Letters</w:t>
        </w:r>
      </w:hyperlink>
    </w:p>
    <w:sectPr w:rsidR="00284023" w:rsidRPr="00FD1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E09"/>
    <w:multiLevelType w:val="hybridMultilevel"/>
    <w:tmpl w:val="418C0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1695">
    <w:abstractNumId w:val="0"/>
  </w:num>
  <w:num w:numId="2" w16cid:durableId="136232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70"/>
    <w:rsid w:val="00163425"/>
    <w:rsid w:val="001E3B22"/>
    <w:rsid w:val="00284023"/>
    <w:rsid w:val="002F29D1"/>
    <w:rsid w:val="00320966"/>
    <w:rsid w:val="005E22D2"/>
    <w:rsid w:val="005F5A1D"/>
    <w:rsid w:val="00653E83"/>
    <w:rsid w:val="00744742"/>
    <w:rsid w:val="00753FAC"/>
    <w:rsid w:val="007E1EAB"/>
    <w:rsid w:val="008334C0"/>
    <w:rsid w:val="008536E2"/>
    <w:rsid w:val="0088740D"/>
    <w:rsid w:val="008D37F9"/>
    <w:rsid w:val="009261EE"/>
    <w:rsid w:val="0093689A"/>
    <w:rsid w:val="009B3AE9"/>
    <w:rsid w:val="009B48D8"/>
    <w:rsid w:val="00AA446F"/>
    <w:rsid w:val="00C31CB6"/>
    <w:rsid w:val="00DB4B4E"/>
    <w:rsid w:val="00F5083F"/>
    <w:rsid w:val="00F54C70"/>
    <w:rsid w:val="00FA72F0"/>
    <w:rsid w:val="00FD1E70"/>
    <w:rsid w:val="00FD28CF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A358"/>
  <w15:chartTrackingRefBased/>
  <w15:docId w15:val="{E1F785AB-EE6D-4407-87AA-DB9363BF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F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9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4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wlmcs.org/guidance/workl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hduk.co.uk/wp-content/uploads/2021/04/ADHD-UK-Letter-to-GPs-on-Right-to-Choose-v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hduk.co.uk/diagnosis-pathways/" TargetMode="External"/><Relationship Id="rId11" Type="http://schemas.openxmlformats.org/officeDocument/2006/relationships/hyperlink" Target="https://view.officeapps.live.com/op/view.aspx?src=https%3A%2F%2Fwww.bma.org.uk%2Fmedia%2Fco5dpvlr%2Fbma-safe-working-template-letters.docx&amp;wdOrigin=BROWSELINK" TargetMode="External"/><Relationship Id="rId5" Type="http://schemas.openxmlformats.org/officeDocument/2006/relationships/hyperlink" Target="https://adhduk.co.uk/right-to-choose/" TargetMode="External"/><Relationship Id="rId10" Type="http://schemas.openxmlformats.org/officeDocument/2006/relationships/hyperlink" Target="https://nwlmcs.org/files/download/documents/ADHD%20Provider%20Letter%20Rejection%20-%20Private%20Request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wlmcs.org/files/download/documents/Work%20transfer%20-%20template%20response%20letter%20to%20secondary%20care%20-1-%20-1-%20512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Teaching Hospitals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Toni (LMC)</dc:creator>
  <cp:keywords/>
  <dc:description/>
  <cp:lastModifiedBy>Noblett Rebecca (LMC)</cp:lastModifiedBy>
  <cp:revision>2</cp:revision>
  <dcterms:created xsi:type="dcterms:W3CDTF">2024-12-05T14:21:00Z</dcterms:created>
  <dcterms:modified xsi:type="dcterms:W3CDTF">2024-12-05T14:21:00Z</dcterms:modified>
</cp:coreProperties>
</file>